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8" w:type="dxa"/>
        <w:jc w:val="center"/>
        <w:tblCellSpacing w:w="0" w:type="dxa"/>
        <w:tblInd w:w="55" w:type="dxa"/>
        <w:shd w:val="clear" w:color="auto" w:fill="FFFFFF"/>
        <w:tblCellMar>
          <w:left w:w="0" w:type="dxa"/>
          <w:right w:w="0" w:type="dxa"/>
        </w:tblCellMar>
        <w:tblLook w:val="04A0"/>
      </w:tblPr>
      <w:tblGrid>
        <w:gridCol w:w="3937"/>
        <w:gridCol w:w="5871"/>
      </w:tblGrid>
      <w:tr w:rsidR="004B2C7F" w:rsidRPr="004B2C7F" w:rsidTr="004B2C7F">
        <w:trPr>
          <w:tblCellSpacing w:w="0" w:type="dxa"/>
          <w:jc w:val="center"/>
        </w:trPr>
        <w:tc>
          <w:tcPr>
            <w:tcW w:w="3937" w:type="dxa"/>
            <w:shd w:val="clear" w:color="auto" w:fill="FFFFFF"/>
            <w:vAlign w:val="center"/>
            <w:hideMark/>
          </w:tcPr>
          <w:p w:rsidR="004B2C7F" w:rsidRPr="00885FA4" w:rsidRDefault="004B2C7F" w:rsidP="00885FA4">
            <w:pPr>
              <w:spacing w:before="0" w:beforeAutospacing="0" w:after="0" w:afterAutospacing="0"/>
              <w:jc w:val="center"/>
              <w:textAlignment w:val="baseline"/>
              <w:rPr>
                <w:rFonts w:eastAsia="Times New Roman" w:cs="Times New Roman"/>
                <w:color w:val="000000"/>
                <w:sz w:val="26"/>
                <w:szCs w:val="28"/>
              </w:rPr>
            </w:pPr>
            <w:r w:rsidRPr="00885FA4">
              <w:rPr>
                <w:rFonts w:eastAsia="Times New Roman" w:cs="Times New Roman"/>
                <w:color w:val="000000"/>
                <w:sz w:val="26"/>
                <w:szCs w:val="28"/>
              </w:rPr>
              <w:t>UBND HUYỆN GIA LÂM</w:t>
            </w:r>
          </w:p>
          <w:p w:rsidR="004B2C7F" w:rsidRPr="00885FA4" w:rsidRDefault="009728E9" w:rsidP="00885FA4">
            <w:pPr>
              <w:spacing w:before="0" w:beforeAutospacing="0" w:after="0" w:afterAutospacing="0"/>
              <w:jc w:val="center"/>
              <w:textAlignment w:val="baseline"/>
              <w:rPr>
                <w:rFonts w:eastAsia="Times New Roman" w:cs="Times New Roman"/>
                <w:b/>
                <w:color w:val="000000"/>
                <w:szCs w:val="28"/>
              </w:rPr>
            </w:pPr>
            <w:r w:rsidRPr="009728E9">
              <w:rPr>
                <w:rFonts w:eastAsia="Times New Roman" w:cs="Times New Roman"/>
                <w:b/>
                <w:bCs/>
                <w:noProof/>
                <w:color w:val="000000"/>
                <w:sz w:val="26"/>
                <w:szCs w:val="28"/>
              </w:rPr>
              <w:pict>
                <v:shapetype id="_x0000_t32" coordsize="21600,21600" o:spt="32" o:oned="t" path="m,l21600,21600e" filled="f">
                  <v:path arrowok="t" fillok="f" o:connecttype="none"/>
                  <o:lock v:ext="edit" shapetype="t"/>
                </v:shapetype>
                <v:shape id="_x0000_s1026" type="#_x0000_t32" style="position:absolute;left:0;text-align:left;margin-left:52.95pt;margin-top:17.65pt;width:81.75pt;height:0;z-index:251658240" o:connectortype="straight"/>
              </w:pict>
            </w:r>
            <w:r w:rsidR="004B2C7F" w:rsidRPr="00885FA4">
              <w:rPr>
                <w:rFonts w:eastAsia="Times New Roman" w:cs="Times New Roman"/>
                <w:b/>
                <w:color w:val="000000"/>
                <w:sz w:val="26"/>
                <w:szCs w:val="28"/>
              </w:rPr>
              <w:t>TRƯỜNG THCS ĐÌNH XUYÊN</w:t>
            </w:r>
          </w:p>
        </w:tc>
        <w:tc>
          <w:tcPr>
            <w:tcW w:w="5871" w:type="dxa"/>
            <w:shd w:val="clear" w:color="auto" w:fill="FFFFFF"/>
            <w:vAlign w:val="center"/>
            <w:hideMark/>
          </w:tcPr>
          <w:p w:rsidR="004B2C7F" w:rsidRPr="00885FA4" w:rsidRDefault="004B2C7F" w:rsidP="00885FA4">
            <w:pPr>
              <w:spacing w:before="0" w:beforeAutospacing="0" w:after="0" w:afterAutospacing="0"/>
              <w:jc w:val="center"/>
              <w:textAlignment w:val="baseline"/>
              <w:rPr>
                <w:rFonts w:eastAsia="Times New Roman" w:cs="Times New Roman"/>
                <w:color w:val="000000"/>
                <w:sz w:val="26"/>
                <w:szCs w:val="28"/>
              </w:rPr>
            </w:pPr>
            <w:r w:rsidRPr="00885FA4">
              <w:rPr>
                <w:rFonts w:eastAsia="Times New Roman" w:cs="Times New Roman"/>
                <w:b/>
                <w:bCs/>
                <w:color w:val="000000"/>
                <w:sz w:val="26"/>
                <w:szCs w:val="28"/>
              </w:rPr>
              <w:t>CỘNG HOÀ XÃ HỘI CHỦ NGHĨA VIỆT NAM</w:t>
            </w:r>
          </w:p>
          <w:p w:rsidR="004B2C7F" w:rsidRDefault="004B2C7F" w:rsidP="00885FA4">
            <w:pPr>
              <w:spacing w:before="0" w:beforeAutospacing="0" w:after="0" w:afterAutospacing="0"/>
              <w:jc w:val="center"/>
              <w:textAlignment w:val="baseline"/>
              <w:rPr>
                <w:rFonts w:eastAsia="Times New Roman" w:cs="Times New Roman"/>
                <w:b/>
                <w:bCs/>
                <w:color w:val="000000"/>
                <w:szCs w:val="28"/>
              </w:rPr>
            </w:pPr>
            <w:r w:rsidRPr="004B2C7F">
              <w:rPr>
                <w:rFonts w:eastAsia="Times New Roman" w:cs="Times New Roman"/>
                <w:b/>
                <w:bCs/>
                <w:color w:val="000000"/>
                <w:szCs w:val="28"/>
              </w:rPr>
              <w:t>Độc lập – Tự do – Hạnh phúc</w:t>
            </w:r>
          </w:p>
          <w:p w:rsidR="00885FA4" w:rsidRPr="004B2C7F" w:rsidRDefault="009728E9" w:rsidP="00885FA4">
            <w:pPr>
              <w:spacing w:before="0" w:beforeAutospacing="0" w:after="0" w:afterAutospacing="0"/>
              <w:jc w:val="center"/>
              <w:textAlignment w:val="baseline"/>
              <w:rPr>
                <w:rFonts w:eastAsia="Times New Roman" w:cs="Times New Roman"/>
                <w:color w:val="000000"/>
                <w:szCs w:val="28"/>
              </w:rPr>
            </w:pPr>
            <w:r>
              <w:rPr>
                <w:rFonts w:eastAsia="Times New Roman" w:cs="Times New Roman"/>
                <w:noProof/>
                <w:color w:val="000000"/>
                <w:szCs w:val="28"/>
              </w:rPr>
              <w:pict>
                <v:shape id="_x0000_s1027" type="#_x0000_t32" style="position:absolute;left:0;text-align:left;margin-left:64.25pt;margin-top:3pt;width:166.5pt;height:0;z-index:251659264" o:connectortype="straight"/>
              </w:pict>
            </w:r>
          </w:p>
        </w:tc>
      </w:tr>
      <w:tr w:rsidR="004B2C7F" w:rsidRPr="004B2C7F" w:rsidTr="004B2C7F">
        <w:trPr>
          <w:tblCellSpacing w:w="0" w:type="dxa"/>
          <w:jc w:val="center"/>
        </w:trPr>
        <w:tc>
          <w:tcPr>
            <w:tcW w:w="3937" w:type="dxa"/>
            <w:shd w:val="clear" w:color="auto" w:fill="FFFFFF"/>
            <w:vAlign w:val="center"/>
            <w:hideMark/>
          </w:tcPr>
          <w:p w:rsidR="004B2C7F" w:rsidRPr="004B2C7F" w:rsidRDefault="004B2C7F" w:rsidP="00885FA4">
            <w:pPr>
              <w:spacing w:before="0" w:beforeAutospacing="0" w:after="0" w:afterAutospacing="0"/>
              <w:jc w:val="center"/>
              <w:textAlignment w:val="baseline"/>
              <w:rPr>
                <w:rFonts w:eastAsia="Times New Roman" w:cs="Times New Roman"/>
                <w:color w:val="000000"/>
                <w:szCs w:val="28"/>
              </w:rPr>
            </w:pPr>
            <w:r w:rsidRPr="004B2C7F">
              <w:rPr>
                <w:rFonts w:eastAsia="Times New Roman" w:cs="Times New Roman"/>
                <w:color w:val="000000"/>
                <w:szCs w:val="28"/>
              </w:rPr>
              <w:t>Số:        /KH</w:t>
            </w:r>
            <w:r>
              <w:rPr>
                <w:rFonts w:eastAsia="Times New Roman" w:cs="Times New Roman"/>
                <w:color w:val="000000"/>
                <w:szCs w:val="28"/>
              </w:rPr>
              <w:t>- THCSĐX</w:t>
            </w:r>
          </w:p>
        </w:tc>
        <w:tc>
          <w:tcPr>
            <w:tcW w:w="5871" w:type="dxa"/>
            <w:shd w:val="clear" w:color="auto" w:fill="FFFFFF"/>
            <w:vAlign w:val="center"/>
            <w:hideMark/>
          </w:tcPr>
          <w:p w:rsidR="004B2C7F" w:rsidRPr="004B2C7F" w:rsidRDefault="004B2C7F" w:rsidP="00E3673D">
            <w:pPr>
              <w:spacing w:before="0" w:beforeAutospacing="0" w:after="0" w:afterAutospacing="0"/>
              <w:jc w:val="center"/>
              <w:textAlignment w:val="baseline"/>
              <w:rPr>
                <w:rFonts w:eastAsia="Times New Roman" w:cs="Times New Roman"/>
                <w:color w:val="000000"/>
                <w:szCs w:val="28"/>
              </w:rPr>
            </w:pPr>
            <w:r>
              <w:rPr>
                <w:rFonts w:eastAsia="Times New Roman" w:cs="Times New Roman"/>
                <w:i/>
                <w:iCs/>
                <w:color w:val="000000"/>
                <w:szCs w:val="28"/>
              </w:rPr>
              <w:t>Đình Xuyên</w:t>
            </w:r>
            <w:r w:rsidRPr="004B2C7F">
              <w:rPr>
                <w:rFonts w:eastAsia="Times New Roman" w:cs="Times New Roman"/>
                <w:i/>
                <w:iCs/>
                <w:color w:val="000000"/>
                <w:szCs w:val="28"/>
              </w:rPr>
              <w:t>, ngày</w:t>
            </w:r>
            <w:r>
              <w:rPr>
                <w:rFonts w:eastAsia="Times New Roman" w:cs="Times New Roman"/>
                <w:i/>
                <w:iCs/>
                <w:color w:val="000000"/>
                <w:szCs w:val="28"/>
              </w:rPr>
              <w:t xml:space="preserve">    </w:t>
            </w:r>
            <w:r w:rsidRPr="004B2C7F">
              <w:rPr>
                <w:rFonts w:eastAsia="Times New Roman" w:cs="Times New Roman"/>
                <w:i/>
                <w:iCs/>
                <w:color w:val="000000"/>
                <w:szCs w:val="28"/>
              </w:rPr>
              <w:t xml:space="preserve"> tháng </w:t>
            </w:r>
            <w:r>
              <w:rPr>
                <w:rFonts w:eastAsia="Times New Roman" w:cs="Times New Roman"/>
                <w:i/>
                <w:iCs/>
                <w:color w:val="000000"/>
                <w:szCs w:val="28"/>
              </w:rPr>
              <w:t xml:space="preserve">   </w:t>
            </w:r>
            <w:r w:rsidRPr="004B2C7F">
              <w:rPr>
                <w:rFonts w:eastAsia="Times New Roman" w:cs="Times New Roman"/>
                <w:i/>
                <w:iCs/>
                <w:color w:val="000000"/>
                <w:szCs w:val="28"/>
              </w:rPr>
              <w:t xml:space="preserve"> năm 201</w:t>
            </w:r>
            <w:r w:rsidR="00E3673D">
              <w:rPr>
                <w:rFonts w:eastAsia="Times New Roman" w:cs="Times New Roman"/>
                <w:i/>
                <w:iCs/>
                <w:color w:val="000000"/>
                <w:szCs w:val="28"/>
              </w:rPr>
              <w:t>9</w:t>
            </w:r>
          </w:p>
        </w:tc>
      </w:tr>
    </w:tbl>
    <w:p w:rsidR="004B2C7F" w:rsidRDefault="004B2C7F" w:rsidP="004B2C7F">
      <w:pPr>
        <w:shd w:val="clear" w:color="auto" w:fill="FFFFFF"/>
        <w:spacing w:before="0" w:beforeAutospacing="0" w:after="0" w:afterAutospacing="0"/>
        <w:jc w:val="both"/>
        <w:textAlignment w:val="baseline"/>
        <w:rPr>
          <w:rFonts w:eastAsia="Times New Roman" w:cs="Times New Roman"/>
          <w:color w:val="000000"/>
          <w:szCs w:val="28"/>
        </w:rPr>
      </w:pPr>
      <w:r w:rsidRPr="004B2C7F">
        <w:rPr>
          <w:rFonts w:eastAsia="Times New Roman" w:cs="Times New Roman"/>
          <w:color w:val="000000"/>
          <w:szCs w:val="28"/>
        </w:rPr>
        <w:t> </w:t>
      </w:r>
    </w:p>
    <w:p w:rsidR="00E11902" w:rsidRPr="004B2C7F" w:rsidRDefault="00E11902" w:rsidP="004B2C7F">
      <w:pPr>
        <w:shd w:val="clear" w:color="auto" w:fill="FFFFFF"/>
        <w:spacing w:before="0" w:beforeAutospacing="0" w:after="0" w:afterAutospacing="0"/>
        <w:jc w:val="both"/>
        <w:textAlignment w:val="baseline"/>
        <w:rPr>
          <w:rFonts w:eastAsia="Times New Roman" w:cs="Times New Roman"/>
          <w:color w:val="000000"/>
          <w:szCs w:val="28"/>
        </w:rPr>
      </w:pPr>
    </w:p>
    <w:p w:rsidR="004B2C7F" w:rsidRPr="004B2C7F" w:rsidRDefault="004B2C7F" w:rsidP="004B2C7F">
      <w:pPr>
        <w:shd w:val="clear" w:color="auto" w:fill="FFFFFF"/>
        <w:spacing w:before="0" w:beforeAutospacing="0" w:after="0" w:afterAutospacing="0"/>
        <w:jc w:val="center"/>
        <w:textAlignment w:val="baseline"/>
        <w:rPr>
          <w:rFonts w:eastAsia="Times New Roman" w:cs="Times New Roman"/>
          <w:color w:val="000000"/>
          <w:szCs w:val="28"/>
        </w:rPr>
      </w:pPr>
      <w:r w:rsidRPr="004B2C7F">
        <w:rPr>
          <w:rFonts w:eastAsia="Times New Roman" w:cs="Times New Roman"/>
          <w:b/>
          <w:bCs/>
          <w:color w:val="000000"/>
          <w:szCs w:val="28"/>
        </w:rPr>
        <w:t>KẾ HOẠCH</w:t>
      </w:r>
    </w:p>
    <w:p w:rsidR="004B2C7F" w:rsidRPr="004B2C7F" w:rsidRDefault="004B2C7F" w:rsidP="004B2C7F">
      <w:pPr>
        <w:shd w:val="clear" w:color="auto" w:fill="FFFFFF"/>
        <w:spacing w:before="0" w:beforeAutospacing="0" w:after="0" w:afterAutospacing="0"/>
        <w:jc w:val="center"/>
        <w:textAlignment w:val="baseline"/>
        <w:rPr>
          <w:rFonts w:eastAsia="Times New Roman" w:cs="Times New Roman"/>
          <w:color w:val="000000"/>
          <w:szCs w:val="28"/>
        </w:rPr>
      </w:pPr>
      <w:r w:rsidRPr="004B2C7F">
        <w:rPr>
          <w:rFonts w:eastAsia="Times New Roman" w:cs="Times New Roman"/>
          <w:b/>
          <w:bCs/>
          <w:color w:val="000000"/>
          <w:szCs w:val="28"/>
        </w:rPr>
        <w:t>Công tác Phòng chống ma túy</w:t>
      </w:r>
      <w:r w:rsidRPr="004B2C7F">
        <w:rPr>
          <w:rFonts w:eastAsia="Times New Roman" w:cs="Times New Roman"/>
          <w:color w:val="000000"/>
          <w:szCs w:val="28"/>
        </w:rPr>
        <w:t> </w:t>
      </w:r>
      <w:r w:rsidRPr="004B2C7F">
        <w:rPr>
          <w:rFonts w:eastAsia="Times New Roman" w:cs="Times New Roman"/>
          <w:b/>
          <w:bCs/>
          <w:color w:val="000000"/>
          <w:szCs w:val="28"/>
        </w:rPr>
        <w:t xml:space="preserve"> năm 201</w:t>
      </w:r>
      <w:r w:rsidR="00E3673D">
        <w:rPr>
          <w:rFonts w:eastAsia="Times New Roman" w:cs="Times New Roman"/>
          <w:b/>
          <w:bCs/>
          <w:color w:val="000000"/>
          <w:szCs w:val="28"/>
        </w:rPr>
        <w:t>9</w:t>
      </w:r>
    </w:p>
    <w:p w:rsidR="00E11902" w:rsidRDefault="009728E9" w:rsidP="004B2C7F">
      <w:pPr>
        <w:shd w:val="clear" w:color="auto" w:fill="FFFFFF"/>
        <w:spacing w:before="0" w:beforeAutospacing="0" w:after="0" w:afterAutospacing="0"/>
        <w:jc w:val="both"/>
        <w:textAlignment w:val="baseline"/>
        <w:rPr>
          <w:rFonts w:eastAsia="Times New Roman" w:cs="Times New Roman"/>
          <w:color w:val="000000"/>
          <w:szCs w:val="28"/>
        </w:rPr>
      </w:pPr>
      <w:r>
        <w:rPr>
          <w:rFonts w:eastAsia="Times New Roman" w:cs="Times New Roman"/>
          <w:noProof/>
          <w:color w:val="000000"/>
          <w:szCs w:val="28"/>
        </w:rPr>
        <w:pict>
          <v:shape id="_x0000_s1028" type="#_x0000_t32" style="position:absolute;left:0;text-align:left;margin-left:197.7pt;margin-top:3.9pt;width:63pt;height:.75pt;z-index:251660288" o:connectortype="straight"/>
        </w:pic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br/>
      </w:r>
      <w:r w:rsidR="00885FA4">
        <w:rPr>
          <w:rFonts w:eastAsia="Times New Roman" w:cs="Times New Roman"/>
          <w:color w:val="000000"/>
          <w:szCs w:val="28"/>
        </w:rPr>
        <w:t xml:space="preserve">           Thực </w:t>
      </w:r>
      <w:r w:rsidRPr="004B2C7F">
        <w:rPr>
          <w:rFonts w:eastAsia="Times New Roman" w:cs="Times New Roman"/>
          <w:color w:val="000000"/>
          <w:szCs w:val="28"/>
        </w:rPr>
        <w:t xml:space="preserve">hiện công văn số </w:t>
      </w:r>
      <w:r w:rsidR="00E3673D">
        <w:rPr>
          <w:rFonts w:eastAsia="Times New Roman" w:cs="Times New Roman"/>
          <w:color w:val="000000"/>
          <w:szCs w:val="28"/>
        </w:rPr>
        <w:t>294</w:t>
      </w:r>
      <w:r w:rsidRPr="004B2C7F">
        <w:rPr>
          <w:rFonts w:eastAsia="Times New Roman" w:cs="Times New Roman"/>
          <w:color w:val="000000"/>
          <w:szCs w:val="28"/>
        </w:rPr>
        <w:t>/</w:t>
      </w:r>
      <w:r w:rsidR="00E3673D">
        <w:rPr>
          <w:rFonts w:eastAsia="Times New Roman" w:cs="Times New Roman"/>
          <w:color w:val="000000"/>
          <w:szCs w:val="28"/>
        </w:rPr>
        <w:t>GDĐT</w:t>
      </w:r>
      <w:r w:rsidR="000B3981">
        <w:rPr>
          <w:rFonts w:eastAsia="Times New Roman" w:cs="Times New Roman"/>
          <w:color w:val="000000"/>
          <w:szCs w:val="28"/>
        </w:rPr>
        <w:t xml:space="preserve"> </w:t>
      </w:r>
      <w:r w:rsidRPr="004B2C7F">
        <w:rPr>
          <w:rFonts w:eastAsia="Times New Roman" w:cs="Times New Roman"/>
          <w:color w:val="000000"/>
          <w:szCs w:val="28"/>
        </w:rPr>
        <w:t xml:space="preserve"> ngày</w:t>
      </w:r>
      <w:r>
        <w:rPr>
          <w:rFonts w:eastAsia="Times New Roman" w:cs="Times New Roman"/>
          <w:color w:val="000000"/>
          <w:szCs w:val="28"/>
        </w:rPr>
        <w:t>1</w:t>
      </w:r>
      <w:r w:rsidR="00E3673D">
        <w:rPr>
          <w:rFonts w:eastAsia="Times New Roman" w:cs="Times New Roman"/>
          <w:color w:val="000000"/>
          <w:szCs w:val="28"/>
        </w:rPr>
        <w:t>4</w:t>
      </w:r>
      <w:r w:rsidRPr="004B2C7F">
        <w:rPr>
          <w:rFonts w:eastAsia="Times New Roman" w:cs="Times New Roman"/>
          <w:color w:val="000000"/>
          <w:szCs w:val="28"/>
        </w:rPr>
        <w:t>/</w:t>
      </w:r>
      <w:r w:rsidR="00E3673D">
        <w:rPr>
          <w:rFonts w:eastAsia="Times New Roman" w:cs="Times New Roman"/>
          <w:color w:val="000000"/>
          <w:szCs w:val="28"/>
        </w:rPr>
        <w:t>10</w:t>
      </w:r>
      <w:r w:rsidRPr="004B2C7F">
        <w:rPr>
          <w:rFonts w:eastAsia="Times New Roman" w:cs="Times New Roman"/>
          <w:color w:val="000000"/>
          <w:szCs w:val="28"/>
        </w:rPr>
        <w:t>/201</w:t>
      </w:r>
      <w:r w:rsidR="00E3673D">
        <w:rPr>
          <w:rFonts w:eastAsia="Times New Roman" w:cs="Times New Roman"/>
          <w:color w:val="000000"/>
          <w:szCs w:val="28"/>
        </w:rPr>
        <w:t>9</w:t>
      </w:r>
      <w:r w:rsidR="00885FA4">
        <w:rPr>
          <w:rFonts w:eastAsia="Times New Roman" w:cs="Times New Roman"/>
          <w:color w:val="000000"/>
          <w:szCs w:val="28"/>
        </w:rPr>
        <w:t xml:space="preserve"> của Phòng giáo dục và đào tạo huyện</w:t>
      </w:r>
      <w:r>
        <w:rPr>
          <w:rFonts w:eastAsia="Times New Roman" w:cs="Times New Roman"/>
          <w:color w:val="000000"/>
          <w:szCs w:val="28"/>
        </w:rPr>
        <w:t xml:space="preserve"> Gia Lâm</w:t>
      </w:r>
      <w:r w:rsidRPr="004B2C7F">
        <w:rPr>
          <w:rFonts w:eastAsia="Times New Roman" w:cs="Times New Roman"/>
          <w:color w:val="000000"/>
          <w:szCs w:val="28"/>
        </w:rPr>
        <w:t xml:space="preserve"> về việc thực hiện công tác</w:t>
      </w:r>
      <w:r w:rsidR="00E3673D">
        <w:rPr>
          <w:rFonts w:eastAsia="Times New Roman" w:cs="Times New Roman"/>
          <w:color w:val="000000"/>
          <w:szCs w:val="28"/>
        </w:rPr>
        <w:t xml:space="preserve"> tuyên truyền</w:t>
      </w:r>
      <w:r w:rsidRPr="004B2C7F">
        <w:rPr>
          <w:rFonts w:eastAsia="Times New Roman" w:cs="Times New Roman"/>
          <w:color w:val="000000"/>
          <w:szCs w:val="28"/>
        </w:rPr>
        <w:t xml:space="preserve"> phòng chống ma túy trong trường học năm 201</w:t>
      </w:r>
      <w:r w:rsidR="00E3673D">
        <w:rPr>
          <w:rFonts w:eastAsia="Times New Roman" w:cs="Times New Roman"/>
          <w:color w:val="000000"/>
          <w:szCs w:val="28"/>
        </w:rPr>
        <w:t>9</w:t>
      </w:r>
      <w:r w:rsidRPr="004B2C7F">
        <w:rPr>
          <w:rFonts w:eastAsia="Times New Roman" w:cs="Times New Roman"/>
          <w:color w:val="000000"/>
          <w:szCs w:val="28"/>
        </w:rPr>
        <w:t>;</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 xml:space="preserve">Căn cứ tình hình và đặc điểm của nhà trường. Trường THCS </w:t>
      </w:r>
      <w:r>
        <w:rPr>
          <w:rFonts w:eastAsia="Times New Roman" w:cs="Times New Roman"/>
          <w:color w:val="000000"/>
          <w:szCs w:val="28"/>
        </w:rPr>
        <w:t>Đình Xuyên</w:t>
      </w:r>
      <w:r w:rsidRPr="004B2C7F">
        <w:rPr>
          <w:rFonts w:eastAsia="Times New Roman" w:cs="Times New Roman"/>
          <w:color w:val="000000"/>
          <w:szCs w:val="28"/>
        </w:rPr>
        <w:t xml:space="preserve"> xây dựng kế hoạch công tác phòng chống ma túy trong trường học năm 201</w:t>
      </w:r>
      <w:r w:rsidR="00E3673D">
        <w:rPr>
          <w:rFonts w:eastAsia="Times New Roman" w:cs="Times New Roman"/>
          <w:color w:val="000000"/>
          <w:szCs w:val="28"/>
        </w:rPr>
        <w:t>9</w:t>
      </w:r>
      <w:r w:rsidRPr="004B2C7F">
        <w:rPr>
          <w:rFonts w:eastAsia="Times New Roman" w:cs="Times New Roman"/>
          <w:color w:val="000000"/>
          <w:szCs w:val="28"/>
        </w:rPr>
        <w:t xml:space="preserve"> như sau:</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I.</w:t>
      </w:r>
      <w:r w:rsidRPr="004B2C7F">
        <w:rPr>
          <w:rFonts w:eastAsia="Times New Roman" w:cs="Times New Roman"/>
          <w:color w:val="000000"/>
          <w:szCs w:val="28"/>
        </w:rPr>
        <w:t> </w:t>
      </w:r>
      <w:r w:rsidRPr="004B2C7F">
        <w:rPr>
          <w:rFonts w:eastAsia="Times New Roman" w:cs="Times New Roman"/>
          <w:b/>
          <w:bCs/>
          <w:color w:val="000000"/>
          <w:szCs w:val="28"/>
        </w:rPr>
        <w:t> Mục đích, yêu cầu</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Nâng cao nhận thức và trách nhiệm của toàn thể CB-GV-CNV và HS về công tác đấu tranh phòng, chống ma túy và tác hại của tệ nạn ma túy để tự phòng ngừa và tích cực tham gia phòng, chống, góp phần làm giảm tệ nạn ma túy trong đời sống xã hội.</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Tăng cường hoạt động tuyên truyền phòng, chống ma túy tại trường học .Giáo dục học sinh hiểu biết về tác hại của ma túy đối với bản thân, gia đình và xã hội, đồng thời nâng cao ý thức trách nhiệm trong công tác đấu tranh phòng chống tệ nạn ma túy, tập trung ngăn chặn, không để tệ nạn ma túy xâm nhập vào trường học, đảm bảo an ninh trật tự, an toàn xã hội trong và ngoài nhà trường.</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Tăng cường sự lãnh đạo, chỉ đạo của các cấp uỷ Đảng trong đơn vị không có tệ nạn ma tuý, mại dâm; coi đây là một tiêu chí trong việc đánh giá chi, đảng bộ trong sạch vững mạnh. Đẩy mạnh công tác tuyên truyền, giáo dục phòng chống các tệ nạn xã hội, ma tuý xâm nhập trường học. Nâng cao vai trò của các tổ chức, đoàn thể trong việc giáo dục, vận động học sinh không vi phạm pháp luật và các tệ nạn xã hội.</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Phối hợp chặt chẽ với chính quyền địa phương, công an xã trong công tác phòng chống tội phạm, phòng chống ma túy.</w:t>
      </w:r>
    </w:p>
    <w:p w:rsidR="004B2C7F" w:rsidRPr="004B2C7F" w:rsidRDefault="004B2C7F" w:rsidP="004B2C7F">
      <w:pPr>
        <w:shd w:val="clear" w:color="auto" w:fill="FFFFFF"/>
        <w:spacing w:before="0" w:beforeAutospacing="0" w:after="0" w:afterAutospacing="0"/>
        <w:jc w:val="both"/>
        <w:textAlignment w:val="baseline"/>
        <w:rPr>
          <w:rFonts w:eastAsia="Times New Roman" w:cs="Times New Roman"/>
          <w:color w:val="000000"/>
          <w:szCs w:val="28"/>
        </w:rPr>
      </w:pPr>
      <w:r w:rsidRPr="004B2C7F">
        <w:rPr>
          <w:rFonts w:eastAsia="Times New Roman" w:cs="Times New Roman"/>
          <w:color w:val="000000"/>
          <w:szCs w:val="28"/>
        </w:rPr>
        <w:t>Kiểm soát, ngăn chặn kịp thời, có hiệu quả tệ nạn ma túy xâm nhập vào trường học. Đảm bảo 100% CB-GV-CNV và HS không bị tác động bởi ma túy.</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II. Những nội dung trọng tâm trong công tác Phòng chống ma túy</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1. Công tác tuyên truyền,  giáo dục PCMT trong trường học</w:t>
      </w:r>
    </w:p>
    <w:p w:rsidR="00EE436D"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Tổ chức quán triệt sâu rộng trong CB-GV-CNV và HS kết luận số 95/KT-TW ngà</w:t>
      </w:r>
      <w:r w:rsidR="00EE436D">
        <w:rPr>
          <w:rFonts w:eastAsia="Times New Roman" w:cs="Times New Roman"/>
          <w:color w:val="000000"/>
          <w:szCs w:val="28"/>
        </w:rPr>
        <w:t>y</w:t>
      </w:r>
      <w:r w:rsidRPr="004B2C7F">
        <w:rPr>
          <w:rFonts w:eastAsia="Times New Roman" w:cs="Times New Roman"/>
          <w:color w:val="000000"/>
          <w:szCs w:val="28"/>
        </w:rPr>
        <w:t xml:space="preserve"> 02/4/2014 của Ban Bí th</w:t>
      </w:r>
      <w:r w:rsidR="00EE436D">
        <w:rPr>
          <w:rFonts w:eastAsia="Times New Roman" w:cs="Times New Roman"/>
          <w:color w:val="000000"/>
          <w:szCs w:val="28"/>
        </w:rPr>
        <w:t>ư về tăng cường sự lãnh đạo của Đảng đối với công tác phòng, chống và kiểm soát ma túy trong tình hình mới.</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Phổ biến rộng rãi pháp Luật về phòng, chống ma túy; Nghị định 94/2009/NĐ-CP ngày 26/10/2009 của Chính phủ về quản lý sau cai nghiện; Nghị định 94/2010/NĐ-CP ngày 24/9/2010 của Chính phủ về tổ chức cai nghiện ma túy tại gia đình và cai nghiện ma túy trong cộng đồng.</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lastRenderedPageBreak/>
        <w:t>Tổ chức tốt việc giáo dục, phòng chống ma tuý trong chương trình giáo dục chính khoá thông qua việc dạy tích hợp, lồng ghép ở các môn học: Sinh học, Giáo dục công dân. 100% giáo viên các bộ môn này phải đảm bảo thực hiện đầy đủ các tiết dạy theo qui định.</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Tổ chức các hoạt động ngoại khóa, các buổi sinh hoạt chào cờ đầu tuần với các hoạt động phong phú như toạ đàm, thảo luận, thi tìm hiểu kiến thức, thi tiểu phẩm văn nghệ... về PCMT và HIV/AIDS, từ đó làm phong phú, đa dạng các hình thức tuyên truyền, giáo dục công tác PCMT trong nhà trường.</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Tăng cường công tác chủ nhiệm và vai trò của Liên đội, Đoàn TNCS Hồ Chí Minh trong việc trực tiếp phối hợp với gia đình các em học sinh có biểu hiện thái độ hành vi đạo đức lối sống không lành mạnh để kịp thời giáo dục các em.</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Tổ chức hộp thư góp ý để phát động học sinh tham gia góp ý, tố giác những  học sinh có biểu hiện những biểu hiện hoạt động có liên quan đến tội phạm về ma túy, vi phạm pháp luật.</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Vào năm học mới, tổ chức cho HS ký cam kết không vi phạm về ma tuý. Bản cam kết có thể được lồng ghép chung vào các nội dung ATGT, phòng chống tội phạm, nội quy trường học.</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2. Công tác phối hợp giữa nhà trường và Công an xã</w:t>
      </w:r>
    </w:p>
    <w:p w:rsidR="004B2C7F" w:rsidRPr="004B2C7F" w:rsidRDefault="004B2C7F" w:rsidP="004B2C7F">
      <w:pPr>
        <w:shd w:val="clear" w:color="auto" w:fill="FFFFFF"/>
        <w:spacing w:before="0" w:beforeAutospacing="0" w:after="0" w:afterAutospacing="0"/>
        <w:jc w:val="both"/>
        <w:textAlignment w:val="baseline"/>
        <w:rPr>
          <w:rFonts w:eastAsia="Times New Roman" w:cs="Times New Roman"/>
          <w:color w:val="000000"/>
          <w:szCs w:val="28"/>
        </w:rPr>
      </w:pPr>
      <w:r w:rsidRPr="004B2C7F">
        <w:rPr>
          <w:rFonts w:eastAsia="Times New Roman" w:cs="Times New Roman"/>
          <w:color w:val="000000"/>
          <w:szCs w:val="28"/>
        </w:rPr>
        <w:t>Tiếp tục thực hiện có hiệu quả quy chế phối hợp trong công tác đảm bảo an ninh, trật tự giữa nhà trường với công an xã.</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Tổ chức kiểm tra và tự kiểm tra việc hoạt động của Ban chỉ đạo phòng chống các tệ nạn xã hội trong nhà trường, nâng cao vai trò trách nhiệm của ban giám hiệu, công đoàn, đoàn thanh niên của nhà trường và chính quyền địa phương, công an phường, xã, thị trấn trong việc phối hợp phòng chống tội phạm, PCMT.</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3. Tăng cường mối liên kết Gia đình – Nhà trường – Xã hội và các tổ chức, đoàn thể trong công tác giáo dục PCMT, phòng chống các TNXH trong trường học</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Đẩy mạnh việc phối hợp với Liên đội, Đoàn TNCS Hồ Chí Minh trong việc xây dựng Đoàn trong nhà trường, là lực lượng nòng cốt trong việc tuyên truyền giáo dục HS; xây dựng các phong trào, tổ chức các hoạt động xã hội, phòng chống tội phạm, tệ nạn ma tuý, tệ nạn xã hội trong nhà trường, bảo đảm ANTT và làm trong sạch môi trường trong và ngoài trường học không có HS vi phạm ma tuý, địa phương không có ma tuý...</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Tăng cường mối quan hệ giữa nhà trường với gia đình và xã hội, cụ thể là giữa giáo viên chủ nhiệm với gia đình là vô cùng cần thiết nhằm tăng cường việc quản lý HS. Thường xuyên có sự phối hợp giữa nhà trường với gia đình HS trong việc quản lý, giáo dục các em nhằm ngăn ngừa ma tuý, các tệ nạn xã hội và tội phạm nhất là ở những HS cá biệt, chưa ngoan.</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4. Đẩy mạnh các hoạt động tuyên truyền giáo dục PCMT nhân</w:t>
      </w:r>
      <w:r w:rsidRPr="004B2C7F">
        <w:rPr>
          <w:rFonts w:eastAsia="Times New Roman" w:cs="Times New Roman"/>
          <w:color w:val="000000"/>
          <w:szCs w:val="28"/>
        </w:rPr>
        <w:t> </w:t>
      </w:r>
      <w:r w:rsidRPr="004B2C7F">
        <w:rPr>
          <w:rFonts w:eastAsia="Times New Roman" w:cs="Times New Roman"/>
          <w:b/>
          <w:bCs/>
          <w:color w:val="000000"/>
          <w:szCs w:val="28"/>
        </w:rPr>
        <w:t>tháng hành động phòng chống ma tuý, “Ngày toàn dân phòng chống ma tuý”</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Hưởng ứng Tháng hành động phòng chống ma tuý, “Ngày và toàn dân phòng chống ma tuý” (26/6/201</w:t>
      </w:r>
      <w:r w:rsidR="00E3673D">
        <w:rPr>
          <w:rFonts w:eastAsia="Times New Roman" w:cs="Times New Roman"/>
          <w:color w:val="000000"/>
          <w:szCs w:val="28"/>
        </w:rPr>
        <w:t>9</w:t>
      </w:r>
      <w:r w:rsidRPr="004B2C7F">
        <w:rPr>
          <w:rFonts w:eastAsia="Times New Roman" w:cs="Times New Roman"/>
          <w:color w:val="000000"/>
          <w:szCs w:val="28"/>
        </w:rPr>
        <w:t>), Ban phòng chống tệ nạn xã hội chỉ đạo thực hiện công tác giáo dục tuyên truyền công tác Phòng chống ma tuý trong thời gian hè như sau:</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lastRenderedPageBreak/>
        <w:t>Tổ chức treo panô, áp phích, đồng thời phối hợp với xã Đoàn tổ chức các hoạt động văn hoá, thể thao…  để tạo nên  không khí ngày hội toàn dân PCMT.</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Chi đoàn trường học có trách nhiệm bàn giao từng đoàn viên về xã Đoàn nơi học sinh cư trú tiếp nhận, tổ chức quản lý, sinh hoạt trong hè; hết thời gian nghỉ hè xã Đoàn bàn giao lại cho Chi đoàn trường để quản lý, sinh hoạt, học tập tại trường.</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Phối hợp chặt chẽ với Công an địa phương tìm hiểu tình hình tệ nạn ma tuý, tệ nạn xã hội, tội phạm trên địa bàn, từ đó có biện pháp tuyên truyền giáo dục các em ngăn chặn, tố giác các loại tội phạm, tệ nạn xã hội, đặc biệt là tệ nạn ma tuý.</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b/>
          <w:bCs/>
          <w:color w:val="000000"/>
          <w:szCs w:val="28"/>
        </w:rPr>
        <w:t>III. Tổ chức thực hiện</w:t>
      </w:r>
    </w:p>
    <w:p w:rsidR="004B2C7F" w:rsidRPr="004B2C7F" w:rsidRDefault="00F045C1"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Pr>
          <w:rFonts w:eastAsia="Times New Roman" w:cs="Times New Roman"/>
          <w:color w:val="000000"/>
          <w:szCs w:val="28"/>
        </w:rPr>
        <w:t>X</w:t>
      </w:r>
      <w:r w:rsidR="004B2C7F" w:rsidRPr="004B2C7F">
        <w:rPr>
          <w:rFonts w:eastAsia="Times New Roman" w:cs="Times New Roman"/>
          <w:color w:val="000000"/>
          <w:szCs w:val="28"/>
        </w:rPr>
        <w:t>ây dựng kế hoạch Phòng chống ma túy năm 201</w:t>
      </w:r>
      <w:r w:rsidR="00E3673D">
        <w:rPr>
          <w:rFonts w:eastAsia="Times New Roman" w:cs="Times New Roman"/>
          <w:color w:val="000000"/>
          <w:szCs w:val="28"/>
        </w:rPr>
        <w:t>9</w:t>
      </w:r>
      <w:r w:rsidR="004B2C7F" w:rsidRPr="004B2C7F">
        <w:rPr>
          <w:rFonts w:eastAsia="Times New Roman" w:cs="Times New Roman"/>
          <w:color w:val="000000"/>
          <w:szCs w:val="28"/>
        </w:rPr>
        <w:t>, kiện toàn BCĐ Phòng chống ma túy.</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Ban chỉ đạo phòng chống ma túy phối hợp với BCH Chi đoàn, Liên Đội thường xuyên tổ chức tuyên truyền, nâng cao nhận thức của học sinh về tác hại của ma túy.</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Liên Đội phối hợp GVCN cho học sinh ký cam kết vào đầu năm học đồng thời lưu hồ sơ.</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Chi Đoàn, Liên Đội xây dựng kế hoạch thường xuyên kiểm tra nề nếp, chuyên cần của học sinh; nhắc nhở học sinh vi phạm.</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Ban văn thể phối hợp cùng Chi đoàn, Liên Đội chủ động xây dựng kế hoạch tổ chức các hoạt động ngoại khóa tuyên truyền Phòng chống ma túy.</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Bộ phận y tế trường học chuẩn bị nội dung tuyên truyền tại nhà trường, phối hợp với GVCN theo dõi, sàng lọc những học sinh cá biệt có nhiều nguy cơ, dễ bị lôi kéo, có biểu hiện nghi vấn.</w:t>
      </w:r>
    </w:p>
    <w:p w:rsidR="004B2C7F" w:rsidRP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GVCN, GV bộ môn linh hoạt lồng ghép nội dung tuyên truyền vào tiết dạy và HĐNGLL. GVCN thường xuyên trao đổi thông tin hai chiều kịp thời với phụ huynh học sinh về tình hình học tập của học sinh.</w:t>
      </w:r>
    </w:p>
    <w:p w:rsidR="004B2C7F" w:rsidRDefault="004B2C7F"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r w:rsidRPr="004B2C7F">
        <w:rPr>
          <w:rFonts w:eastAsia="Times New Roman" w:cs="Times New Roman"/>
          <w:color w:val="000000"/>
          <w:szCs w:val="28"/>
        </w:rPr>
        <w:t> Kế hoạch này được phổ biến công khai trên bảng tin, website nhà trường, yêu cầu các các bộ phận liên quan triển khai kế hoạch và thực hiện tốt những nội dung nêu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B3981" w:rsidTr="000B3981">
        <w:tc>
          <w:tcPr>
            <w:tcW w:w="4644" w:type="dxa"/>
          </w:tcPr>
          <w:p w:rsidR="000B3981" w:rsidRDefault="000B3981" w:rsidP="00885FA4">
            <w:pPr>
              <w:spacing w:beforeAutospacing="0" w:afterAutospacing="0"/>
              <w:jc w:val="both"/>
              <w:textAlignment w:val="baseline"/>
              <w:rPr>
                <w:rFonts w:eastAsia="Times New Roman" w:cs="Times New Roman"/>
                <w:b/>
                <w:i/>
                <w:color w:val="000000"/>
                <w:sz w:val="24"/>
                <w:szCs w:val="24"/>
              </w:rPr>
            </w:pPr>
            <w:r w:rsidRPr="000B3981">
              <w:rPr>
                <w:rFonts w:eastAsia="Times New Roman" w:cs="Times New Roman"/>
                <w:b/>
                <w:i/>
                <w:color w:val="000000"/>
                <w:sz w:val="24"/>
                <w:szCs w:val="24"/>
              </w:rPr>
              <w:t>Nơi nhận:</w:t>
            </w:r>
          </w:p>
          <w:p w:rsidR="00F81C21" w:rsidRPr="00F81C21" w:rsidRDefault="00F81C21" w:rsidP="00885FA4">
            <w:pPr>
              <w:spacing w:beforeAutospacing="0" w:afterAutospacing="0"/>
              <w:jc w:val="both"/>
              <w:textAlignment w:val="baseline"/>
              <w:rPr>
                <w:rFonts w:eastAsia="Times New Roman" w:cs="Times New Roman"/>
                <w:color w:val="000000"/>
                <w:sz w:val="22"/>
              </w:rPr>
            </w:pPr>
            <w:r>
              <w:rPr>
                <w:rFonts w:eastAsia="Times New Roman" w:cs="Times New Roman"/>
                <w:b/>
                <w:i/>
                <w:color w:val="000000"/>
                <w:sz w:val="24"/>
                <w:szCs w:val="24"/>
              </w:rPr>
              <w:t>-</w:t>
            </w:r>
            <w:r>
              <w:rPr>
                <w:rFonts w:eastAsia="Times New Roman" w:cs="Times New Roman"/>
                <w:i/>
                <w:color w:val="000000"/>
                <w:sz w:val="24"/>
                <w:szCs w:val="24"/>
              </w:rPr>
              <w:t xml:space="preserve"> </w:t>
            </w:r>
            <w:r w:rsidRPr="00F81C21">
              <w:rPr>
                <w:rFonts w:eastAsia="Times New Roman" w:cs="Times New Roman"/>
                <w:color w:val="000000"/>
                <w:sz w:val="22"/>
              </w:rPr>
              <w:t>Bộ phận y tế để thực hiện</w:t>
            </w:r>
            <w:r>
              <w:rPr>
                <w:rFonts w:eastAsia="Times New Roman" w:cs="Times New Roman"/>
                <w:color w:val="000000"/>
                <w:sz w:val="22"/>
              </w:rPr>
              <w:t>;</w:t>
            </w:r>
          </w:p>
          <w:p w:rsidR="00F81C21" w:rsidRPr="00F81C21" w:rsidRDefault="00F81C21" w:rsidP="00885FA4">
            <w:pPr>
              <w:spacing w:beforeAutospacing="0" w:afterAutospacing="0"/>
              <w:jc w:val="both"/>
              <w:textAlignment w:val="baseline"/>
              <w:rPr>
                <w:rFonts w:eastAsia="Times New Roman" w:cs="Times New Roman"/>
                <w:color w:val="000000"/>
                <w:sz w:val="22"/>
              </w:rPr>
            </w:pPr>
            <w:r w:rsidRPr="00F81C21">
              <w:rPr>
                <w:rFonts w:eastAsia="Times New Roman" w:cs="Times New Roman"/>
                <w:b/>
                <w:color w:val="000000"/>
                <w:sz w:val="22"/>
              </w:rPr>
              <w:t>-</w:t>
            </w:r>
            <w:r w:rsidRPr="00F81C21">
              <w:rPr>
                <w:rFonts w:eastAsia="Times New Roman" w:cs="Times New Roman"/>
                <w:color w:val="000000"/>
                <w:sz w:val="22"/>
              </w:rPr>
              <w:t>Lưu</w:t>
            </w:r>
            <w:r>
              <w:rPr>
                <w:rFonts w:eastAsia="Times New Roman" w:cs="Times New Roman"/>
                <w:color w:val="000000"/>
                <w:sz w:val="22"/>
              </w:rPr>
              <w:t>:</w:t>
            </w:r>
            <w:r w:rsidRPr="00F81C21">
              <w:rPr>
                <w:rFonts w:eastAsia="Times New Roman" w:cs="Times New Roman"/>
                <w:color w:val="000000"/>
                <w:sz w:val="22"/>
              </w:rPr>
              <w:t xml:space="preserve"> VP</w:t>
            </w:r>
            <w:r>
              <w:rPr>
                <w:rFonts w:eastAsia="Times New Roman" w:cs="Times New Roman"/>
                <w:color w:val="000000"/>
                <w:sz w:val="22"/>
              </w:rPr>
              <w:t>.</w:t>
            </w:r>
          </w:p>
          <w:p w:rsidR="00F81C21" w:rsidRPr="00F81C21" w:rsidRDefault="00F81C21" w:rsidP="00885FA4">
            <w:pPr>
              <w:spacing w:beforeAutospacing="0" w:afterAutospacing="0"/>
              <w:jc w:val="both"/>
              <w:textAlignment w:val="baseline"/>
              <w:rPr>
                <w:rFonts w:eastAsia="Times New Roman" w:cs="Times New Roman"/>
                <w:color w:val="000000"/>
                <w:szCs w:val="28"/>
              </w:rPr>
            </w:pPr>
          </w:p>
        </w:tc>
        <w:tc>
          <w:tcPr>
            <w:tcW w:w="4644" w:type="dxa"/>
          </w:tcPr>
          <w:p w:rsidR="000B3981" w:rsidRPr="004B2C7F" w:rsidRDefault="000B3981" w:rsidP="000B3981">
            <w:pPr>
              <w:spacing w:beforeAutospacing="0" w:afterAutospacing="0"/>
              <w:jc w:val="center"/>
              <w:textAlignment w:val="baseline"/>
              <w:rPr>
                <w:rFonts w:eastAsia="Times New Roman" w:cs="Times New Roman"/>
                <w:color w:val="000000"/>
                <w:szCs w:val="28"/>
              </w:rPr>
            </w:pPr>
            <w:r>
              <w:rPr>
                <w:rFonts w:eastAsia="Times New Roman" w:cs="Times New Roman"/>
                <w:b/>
                <w:bCs/>
                <w:color w:val="000000"/>
                <w:szCs w:val="28"/>
              </w:rPr>
              <w:t xml:space="preserve">P. </w:t>
            </w:r>
            <w:r w:rsidRPr="004B2C7F">
              <w:rPr>
                <w:rFonts w:eastAsia="Times New Roman" w:cs="Times New Roman"/>
                <w:b/>
                <w:bCs/>
                <w:color w:val="000000"/>
                <w:szCs w:val="28"/>
              </w:rPr>
              <w:t>HIỆU TRƯỞNG</w:t>
            </w:r>
          </w:p>
          <w:p w:rsidR="000B3981" w:rsidRPr="004B2C7F" w:rsidRDefault="000B3981" w:rsidP="000B3981">
            <w:pPr>
              <w:spacing w:beforeAutospacing="0" w:afterAutospacing="0"/>
              <w:jc w:val="center"/>
              <w:textAlignment w:val="baseline"/>
              <w:rPr>
                <w:rFonts w:eastAsia="Times New Roman" w:cs="Times New Roman"/>
                <w:color w:val="000000"/>
                <w:szCs w:val="28"/>
              </w:rPr>
            </w:pPr>
          </w:p>
          <w:p w:rsidR="000B3981" w:rsidRPr="004B2C7F" w:rsidRDefault="000B3981" w:rsidP="000B3981">
            <w:pPr>
              <w:spacing w:beforeAutospacing="0" w:afterAutospacing="0"/>
              <w:jc w:val="center"/>
              <w:textAlignment w:val="baseline"/>
              <w:rPr>
                <w:rFonts w:eastAsia="Times New Roman" w:cs="Times New Roman"/>
                <w:color w:val="000000"/>
                <w:szCs w:val="28"/>
              </w:rPr>
            </w:pPr>
          </w:p>
          <w:p w:rsidR="000B3981" w:rsidRDefault="000B3981" w:rsidP="000B3981">
            <w:pPr>
              <w:spacing w:beforeAutospacing="0" w:afterAutospacing="0"/>
              <w:jc w:val="center"/>
              <w:textAlignment w:val="baseline"/>
              <w:rPr>
                <w:rFonts w:eastAsia="Times New Roman" w:cs="Times New Roman"/>
                <w:color w:val="000000"/>
                <w:szCs w:val="28"/>
              </w:rPr>
            </w:pPr>
          </w:p>
          <w:p w:rsidR="000B3981" w:rsidRDefault="000B3981" w:rsidP="000B3981">
            <w:pPr>
              <w:spacing w:beforeAutospacing="0" w:afterAutospacing="0"/>
              <w:jc w:val="center"/>
              <w:textAlignment w:val="baseline"/>
              <w:rPr>
                <w:rFonts w:eastAsia="Times New Roman" w:cs="Times New Roman"/>
                <w:color w:val="000000"/>
                <w:szCs w:val="28"/>
              </w:rPr>
            </w:pPr>
          </w:p>
          <w:p w:rsidR="000B3981" w:rsidRDefault="000B3981" w:rsidP="000B3981">
            <w:pPr>
              <w:spacing w:beforeAutospacing="0" w:afterAutospacing="0"/>
              <w:jc w:val="center"/>
              <w:textAlignment w:val="baseline"/>
              <w:rPr>
                <w:rFonts w:eastAsia="Times New Roman" w:cs="Times New Roman"/>
                <w:color w:val="000000"/>
                <w:szCs w:val="28"/>
              </w:rPr>
            </w:pPr>
          </w:p>
          <w:p w:rsidR="000B3981" w:rsidRDefault="000B3981" w:rsidP="000B3981">
            <w:pPr>
              <w:spacing w:beforeAutospacing="0" w:afterAutospacing="0"/>
              <w:jc w:val="center"/>
              <w:textAlignment w:val="baseline"/>
              <w:rPr>
                <w:rFonts w:eastAsia="Times New Roman" w:cs="Times New Roman"/>
                <w:color w:val="000000"/>
                <w:szCs w:val="28"/>
              </w:rPr>
            </w:pPr>
            <w:r w:rsidRPr="000B3981">
              <w:rPr>
                <w:rFonts w:eastAsia="Times New Roman" w:cs="Times New Roman"/>
                <w:b/>
                <w:color w:val="000000"/>
                <w:szCs w:val="28"/>
              </w:rPr>
              <w:t>Đoàn Thuý Hoà</w:t>
            </w:r>
          </w:p>
        </w:tc>
      </w:tr>
    </w:tbl>
    <w:p w:rsidR="000B3981" w:rsidRDefault="000B3981"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p>
    <w:p w:rsidR="000B3981" w:rsidRDefault="000B3981"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p>
    <w:p w:rsidR="000B3981" w:rsidRDefault="000B3981"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p>
    <w:p w:rsidR="000B3981" w:rsidRPr="004B2C7F" w:rsidRDefault="000B3981" w:rsidP="00885FA4">
      <w:pPr>
        <w:shd w:val="clear" w:color="auto" w:fill="FFFFFF"/>
        <w:spacing w:before="0" w:beforeAutospacing="0" w:after="0" w:afterAutospacing="0"/>
        <w:ind w:firstLine="720"/>
        <w:jc w:val="both"/>
        <w:textAlignment w:val="baseline"/>
        <w:rPr>
          <w:rFonts w:eastAsia="Times New Roman" w:cs="Times New Roman"/>
          <w:color w:val="000000"/>
          <w:szCs w:val="28"/>
        </w:rPr>
      </w:pPr>
    </w:p>
    <w:p w:rsidR="00396C97" w:rsidRPr="004B2C7F" w:rsidRDefault="00396C97">
      <w:pPr>
        <w:rPr>
          <w:rFonts w:cs="Times New Roman"/>
          <w:szCs w:val="28"/>
        </w:rPr>
      </w:pPr>
    </w:p>
    <w:sectPr w:rsidR="00396C97" w:rsidRPr="004B2C7F" w:rsidSect="00052AE7">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03AD1"/>
    <w:multiLevelType w:val="hybridMultilevel"/>
    <w:tmpl w:val="8C6ED682"/>
    <w:lvl w:ilvl="0" w:tplc="DF4CEA00">
      <w:start w:val="3"/>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74192F9E"/>
    <w:multiLevelType w:val="hybridMultilevel"/>
    <w:tmpl w:val="7B584A54"/>
    <w:lvl w:ilvl="0" w:tplc="793A1896">
      <w:start w:val="3"/>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B2C7F"/>
    <w:rsid w:val="00052AE7"/>
    <w:rsid w:val="000B3981"/>
    <w:rsid w:val="002B4291"/>
    <w:rsid w:val="00396C97"/>
    <w:rsid w:val="0046308E"/>
    <w:rsid w:val="004B2C7F"/>
    <w:rsid w:val="00753D55"/>
    <w:rsid w:val="00885FA4"/>
    <w:rsid w:val="009728E9"/>
    <w:rsid w:val="009E7C63"/>
    <w:rsid w:val="00B97834"/>
    <w:rsid w:val="00D4306B"/>
    <w:rsid w:val="00E0236C"/>
    <w:rsid w:val="00E11902"/>
    <w:rsid w:val="00E3673D"/>
    <w:rsid w:val="00EE436D"/>
    <w:rsid w:val="00F045C1"/>
    <w:rsid w:val="00F72137"/>
    <w:rsid w:val="00F81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C7F"/>
    <w:rPr>
      <w:rFonts w:eastAsia="Times New Roman" w:cs="Times New Roman"/>
      <w:sz w:val="24"/>
      <w:szCs w:val="24"/>
    </w:rPr>
  </w:style>
  <w:style w:type="character" w:styleId="Strong">
    <w:name w:val="Strong"/>
    <w:basedOn w:val="DefaultParagraphFont"/>
    <w:uiPriority w:val="22"/>
    <w:qFormat/>
    <w:rsid w:val="004B2C7F"/>
    <w:rPr>
      <w:b/>
      <w:bCs/>
    </w:rPr>
  </w:style>
  <w:style w:type="character" w:styleId="Emphasis">
    <w:name w:val="Emphasis"/>
    <w:basedOn w:val="DefaultParagraphFont"/>
    <w:uiPriority w:val="20"/>
    <w:qFormat/>
    <w:rsid w:val="004B2C7F"/>
    <w:rPr>
      <w:i/>
      <w:iCs/>
    </w:rPr>
  </w:style>
  <w:style w:type="paragraph" w:styleId="ListParagraph">
    <w:name w:val="List Paragraph"/>
    <w:basedOn w:val="Normal"/>
    <w:uiPriority w:val="34"/>
    <w:qFormat/>
    <w:rsid w:val="00F045C1"/>
    <w:pPr>
      <w:ind w:left="720"/>
      <w:contextualSpacing/>
    </w:pPr>
  </w:style>
  <w:style w:type="table" w:styleId="TableGrid">
    <w:name w:val="Table Grid"/>
    <w:basedOn w:val="TableNormal"/>
    <w:uiPriority w:val="59"/>
    <w:rsid w:val="000B398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40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19</cp:revision>
  <dcterms:created xsi:type="dcterms:W3CDTF">2018-03-20T02:51:00Z</dcterms:created>
  <dcterms:modified xsi:type="dcterms:W3CDTF">2019-10-25T02:03:00Z</dcterms:modified>
</cp:coreProperties>
</file>